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51B57" w14:textId="77777777" w:rsidR="003C1D9E" w:rsidRDefault="003C1D9E" w:rsidP="003C1D9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414141"/>
          <w:sz w:val="27"/>
          <w:szCs w:val="27"/>
          <w:bdr w:val="none" w:sz="0" w:space="0" w:color="auto" w:frame="1"/>
        </w:rPr>
        <w:t>Covid-19 2nd vaccination</w:t>
      </w:r>
    </w:p>
    <w:p w14:paraId="6266E339" w14:textId="77777777" w:rsidR="003C1D9E" w:rsidRDefault="003C1D9E" w:rsidP="003C1D9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t> </w:t>
      </w:r>
    </w:p>
    <w:p w14:paraId="2027DD0C" w14:textId="77777777" w:rsidR="003C1D9E" w:rsidRDefault="003C1D9E" w:rsidP="003C1D9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t xml:space="preserve">Since the beginning of </w:t>
      </w:r>
      <w:proofErr w:type="gramStart"/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t>January 2021</w:t>
      </w:r>
      <w:proofErr w:type="gramEnd"/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t xml:space="preserve"> we have vaccinated more than 10,000 patients registered at several local surgeries (Everglade Medical Centre, Parkview Medical Centre, Deans Lane Surgery, Watling Medical Centre and some patients from </w:t>
      </w:r>
      <w:proofErr w:type="spellStart"/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t>Millway</w:t>
      </w:r>
      <w:proofErr w:type="spellEnd"/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t xml:space="preserve"> Medical Centre) covering all eligible groups.  </w:t>
      </w:r>
    </w:p>
    <w:p w14:paraId="3457D8F2" w14:textId="77777777" w:rsidR="003C1D9E" w:rsidRDefault="003C1D9E" w:rsidP="003C1D9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t>Guide for Covid-19 vaccination - </w:t>
      </w:r>
      <w:hyperlink r:id="rId4" w:tgtFrame="_blank" w:history="1">
        <w:r>
          <w:rPr>
            <w:rStyle w:val="Hyperlink"/>
            <w:rFonts w:ascii="Arial" w:hAnsi="Arial" w:cs="Arial"/>
            <w:color w:val="BF6756"/>
            <w:sz w:val="27"/>
            <w:szCs w:val="27"/>
            <w:bdr w:val="none" w:sz="0" w:space="0" w:color="auto" w:frame="1"/>
          </w:rPr>
          <w:t>COVID-19 vaccination - a guide for adults (hscni.net)</w:t>
        </w:r>
      </w:hyperlink>
    </w:p>
    <w:p w14:paraId="292A8F9C" w14:textId="77777777" w:rsidR="003C1D9E" w:rsidRDefault="003C1D9E" w:rsidP="003C1D9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t>See eligibility groups in priority order </w:t>
      </w:r>
      <w:hyperlink r:id="rId5" w:tgtFrame="_blank" w:history="1">
        <w:r>
          <w:rPr>
            <w:rStyle w:val="Hyperlink"/>
            <w:b/>
            <w:bCs/>
            <w:color w:val="BF6756"/>
            <w:sz w:val="27"/>
            <w:szCs w:val="27"/>
            <w:bdr w:val="none" w:sz="0" w:space="0" w:color="auto" w:frame="1"/>
          </w:rPr>
          <w:t>here</w:t>
        </w:r>
      </w:hyperlink>
    </w:p>
    <w:p w14:paraId="60D42963" w14:textId="77777777" w:rsidR="003C1D9E" w:rsidRDefault="003C1D9E" w:rsidP="003C1D9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t>2</w:t>
      </w: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  <w:vertAlign w:val="superscript"/>
        </w:rPr>
        <w:t>nd</w:t>
      </w: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t> vaccination schedule – Week commencing 22</w:t>
      </w: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  <w:vertAlign w:val="superscript"/>
        </w:rPr>
        <w:t>nd</w:t>
      </w: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t> March 2021 we will be moving onto providing 2</w:t>
      </w: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  <w:vertAlign w:val="superscript"/>
        </w:rPr>
        <w:t>nd</w:t>
      </w: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t> vaccination for patients that have been vaccinated at our surgery with their 1</w:t>
      </w: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  <w:vertAlign w:val="superscript"/>
        </w:rPr>
        <w:t>st</w:t>
      </w: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t> dose. If you are one of those patients, you will receive your 2</w:t>
      </w: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  <w:vertAlign w:val="superscript"/>
        </w:rPr>
        <w:t>nd</w:t>
      </w: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t> dose invitation starting from 11</w:t>
      </w: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t> week after your first vaccination. Please be patient and do not call the surgery – we will contact you.  </w:t>
      </w:r>
    </w:p>
    <w:p w14:paraId="3C6767E7" w14:textId="77777777" w:rsidR="00DA5826" w:rsidRPr="003C1D9E" w:rsidRDefault="00DA5826" w:rsidP="003C1D9E"/>
    <w:sectPr w:rsidR="00DA5826" w:rsidRPr="003C1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9E"/>
    <w:rsid w:val="003C1D9E"/>
    <w:rsid w:val="00D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2680"/>
  <w15:chartTrackingRefBased/>
  <w15:docId w15:val="{1A3E19EC-6280-4EE7-B19F-E5281DB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C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C1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priority-groups-for-coronavirus-covid-19-vaccination-advice-from-the-jcvi-2-december-2020/priority-groups-for-coronavirus-covid-19-vaccination-advice-from-the-jcvi-2-december-2020" TargetMode="External"/><Relationship Id="rId4" Type="http://schemas.openxmlformats.org/officeDocument/2006/relationships/hyperlink" Target="https://www.publichealth.hscni.net/sites/default/files/2021-01/Job%202%20Covid-19_Guide_for_Adults_DL_leaflet_12pp_11_01_21%20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Sheehan</dc:creator>
  <cp:keywords/>
  <dc:description/>
  <cp:lastModifiedBy>Avril Sheehan</cp:lastModifiedBy>
  <cp:revision>1</cp:revision>
  <cp:lastPrinted>2021-03-05T08:52:00Z</cp:lastPrinted>
  <dcterms:created xsi:type="dcterms:W3CDTF">2021-03-05T08:52:00Z</dcterms:created>
  <dcterms:modified xsi:type="dcterms:W3CDTF">2021-03-05T08:53:00Z</dcterms:modified>
</cp:coreProperties>
</file>